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73" w:val="left"/>
        </w:tabs>
        <w:ind w:firstLine="0" w:left="0"/>
        <w:jc w:val="center"/>
        <w:rPr>
          <w:sz w:val="25"/>
        </w:rPr>
      </w:pPr>
      <w:r>
        <w:rPr>
          <w:b w:val="1"/>
          <w:sz w:val="25"/>
        </w:rPr>
        <w:t>План реализации инновационного проекта</w:t>
      </w:r>
    </w:p>
    <w:p w14:paraId="02000000">
      <w:pPr>
        <w:tabs>
          <w:tab w:leader="none" w:pos="873" w:val="left"/>
        </w:tabs>
        <w:ind w:firstLine="0" w:left="0"/>
        <w:jc w:val="center"/>
        <w:rPr>
          <w:sz w:val="25"/>
        </w:rPr>
      </w:pPr>
    </w:p>
    <w:p w14:paraId="03000000">
      <w:pPr>
        <w:tabs>
          <w:tab w:leader="none" w:pos="873" w:val="left"/>
        </w:tabs>
        <w:ind w:firstLine="0" w:left="0"/>
        <w:jc w:val="both"/>
        <w:rPr>
          <w:sz w:val="25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0"/>
        <w:gridCol w:w="3861"/>
        <w:gridCol w:w="2083"/>
        <w:gridCol w:w="3586"/>
      </w:tblGrid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r>
              <w:t>№ п/п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r>
              <w:t>Перечень запланированных мероприятий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r>
              <w:t>Срок, место проведения мероприятий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r>
              <w:t>П</w:t>
            </w:r>
            <w:r>
              <w:t>еречень конечных результатов / образовательных продуктов</w:t>
            </w:r>
          </w:p>
        </w:tc>
      </w:tr>
      <w:tr>
        <w:trPr>
          <w:trHeight w:hRule="atLeast" w:val="360"/>
        </w:trPr>
        <w:tc>
          <w:tcPr>
            <w:tcW w:type="dxa" w:w="1020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этап</w:t>
            </w:r>
            <w:r>
              <w:rPr>
                <w:b w:val="1"/>
                <w:sz w:val="24"/>
              </w:rPr>
              <w:t xml:space="preserve"> – организационно-подготовительный</w:t>
            </w:r>
            <w:r>
              <w:rPr>
                <w:b w:val="1"/>
                <w:sz w:val="24"/>
              </w:rPr>
              <w:t xml:space="preserve"> (2024 г.)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r>
              <w:t>1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внедрение системы управления реализацией проекта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r>
              <w:t>Апрель – май  2024 г, МАОУ СОШ № 166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Разработаны </w:t>
            </w:r>
            <w:r>
              <w:rPr>
                <w:sz w:val="20"/>
              </w:rPr>
              <w:t xml:space="preserve">нормативный акт по управлению инновационной деятельностью, назначены ответственные, определены сроки 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r>
              <w:t>2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Освоение нормативной, научной, методологической и методической базой по проблематике проекта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r>
              <w:t xml:space="preserve">Май – август 2024 г., </w:t>
            </w:r>
            <w:r>
              <w:t>МАОУ СОШ № 166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Повышение компетентности кадрового состава проекта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r>
              <w:t>3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Заключение договоров о сетевом взаимодействии с образовательными организациями – будущими площадками апробации и внедрения проектного продукта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r>
              <w:t xml:space="preserve">Август – сентябрь 2024 г., </w:t>
            </w:r>
            <w:r>
              <w:t>МАОУ СОШ № 166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Разработана сетевая архитектура инновационного образовательного проекта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r>
              <w:t>4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Подготовка кадрового состава для реали</w:t>
            </w:r>
            <w:r>
              <w:rPr>
                <w:sz w:val="20"/>
              </w:rPr>
              <w:t>зации проекта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t>В течение 2024 г.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Кадровый состав готов к реализации проекта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r>
              <w:t>5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Адаптация имеющегося и разработка нового диагностического инструментария для диагностики </w:t>
            </w:r>
            <w:r>
              <w:rPr>
                <w:sz w:val="20"/>
              </w:rPr>
              <w:t>сформированности</w:t>
            </w:r>
            <w:r>
              <w:rPr>
                <w:sz w:val="20"/>
              </w:rPr>
              <w:t xml:space="preserve"> функциональной грамотности у детей-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r>
              <w:t xml:space="preserve">Сентябрь – декабрь 2024 г., </w:t>
            </w:r>
            <w:r>
              <w:t>МАОУ СОШ № 166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Разработан подходящий инструментарий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r>
              <w:t>6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z w:val="20"/>
              </w:rPr>
              <w:t>азработка программы педагогического сопровождения семей, в которых воспитываются дети-</w:t>
            </w:r>
            <w:r>
              <w:rPr>
                <w:sz w:val="20"/>
              </w:rPr>
              <w:t>инофоны</w:t>
            </w:r>
            <w:r>
              <w:rPr>
                <w:sz w:val="20"/>
              </w:rPr>
              <w:t>, включая вопросы повышения педагогической компетентности родителей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r>
              <w:t>Сентябрь – декабрь 2024 г.</w:t>
            </w:r>
            <w:r>
              <w:t xml:space="preserve">, </w:t>
            </w:r>
            <w:r>
              <w:t>МАОУ СОШ № 166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Разработана программа педагогического сопровождения семей, в которых воспитываются дети-</w:t>
            </w:r>
            <w:r>
              <w:rPr>
                <w:sz w:val="20"/>
              </w:rPr>
              <w:t>инофон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301"/>
        </w:trPr>
        <w:tc>
          <w:tcPr>
            <w:tcW w:type="dxa" w:w="1020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 этап</w:t>
            </w:r>
            <w:r>
              <w:rPr>
                <w:b w:val="1"/>
              </w:rPr>
              <w:t xml:space="preserve"> – </w:t>
            </w:r>
            <w:r>
              <w:rPr>
                <w:b w:val="1"/>
              </w:rPr>
              <w:t>апробационный</w:t>
            </w:r>
            <w:r>
              <w:rPr>
                <w:b w:val="1"/>
              </w:rPr>
              <w:t xml:space="preserve">  (2025</w:t>
            </w:r>
            <w:r>
              <w:rPr>
                <w:b w:val="1"/>
              </w:rPr>
              <w:t xml:space="preserve"> – 2026</w:t>
            </w:r>
            <w:r>
              <w:rPr>
                <w:b w:val="1"/>
              </w:rPr>
              <w:t xml:space="preserve"> г.)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r>
              <w:t>1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диагностики </w:t>
            </w:r>
            <w:r>
              <w:rPr>
                <w:sz w:val="20"/>
              </w:rPr>
              <w:t>сформированности</w:t>
            </w:r>
            <w:r>
              <w:rPr>
                <w:sz w:val="20"/>
              </w:rPr>
              <w:t xml:space="preserve"> функциональной грамотности детей-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r>
              <w:t xml:space="preserve">1 квартал 2025 г., </w:t>
            </w:r>
            <w:r>
              <w:t>МАОУ СОШ № 166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Определен уровень </w:t>
            </w:r>
            <w:r>
              <w:rPr>
                <w:sz w:val="20"/>
              </w:rPr>
              <w:t>сформированности</w:t>
            </w:r>
            <w:r>
              <w:rPr>
                <w:sz w:val="20"/>
              </w:rPr>
              <w:t xml:space="preserve"> функциональной грамотности каждого ребенка-</w:t>
            </w:r>
            <w:r>
              <w:rPr>
                <w:sz w:val="20"/>
              </w:rPr>
              <w:t>инофона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r>
              <w:t>2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Разработка программ «Читательская грамотность 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», «Математическая грамотность 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», «Естественно-научная грамотность 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», «Глобальные компетенции 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>» (1-4 класс) с аудио-приложениями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r>
              <w:t xml:space="preserve">1-2 квартал 2025 г., </w:t>
            </w:r>
            <w:r>
              <w:t>МАОУ СОШ № 166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Разработан уникальный дидактический и методический инструментарий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r>
              <w:t>3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Разработка индивидуальных образовательных маршрутов для детей-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r>
              <w:t>Май-август 2025 г.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Для каждого ребенка-</w:t>
            </w:r>
            <w:r>
              <w:rPr>
                <w:sz w:val="20"/>
              </w:rPr>
              <w:t>инофона</w:t>
            </w:r>
            <w:r>
              <w:rPr>
                <w:sz w:val="20"/>
              </w:rPr>
              <w:t xml:space="preserve"> разработан индивидуальный образовательный маршрут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r>
              <w:t>4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Реализация индивидуальных образовательных маршрутов для детей-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r>
              <w:t>2025 – 2026 учебный год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Повышение функциональной грамотности обучающихся-</w:t>
            </w:r>
            <w:r>
              <w:rPr>
                <w:sz w:val="20"/>
              </w:rPr>
              <w:t>инофонов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r>
              <w:t>5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Повторная диагностика </w:t>
            </w:r>
            <w:r>
              <w:rPr>
                <w:sz w:val="20"/>
              </w:rPr>
              <w:t>сформированности</w:t>
            </w:r>
            <w:r>
              <w:rPr>
                <w:sz w:val="20"/>
              </w:rPr>
              <w:t xml:space="preserve"> функциональной грамотности детей-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r>
              <w:t>Май 2026 г.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Определена динамика формирования функциональной грамотности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r>
              <w:t>6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Анализ результатов повторной диагностики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r>
              <w:t>Июнь 2026 г.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Усовершенствован диагностический, дидактический и методический инструментарий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r>
              <w:t>7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Анализ результатов первичной реализации проекта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r>
              <w:t>Июнь – август 2026г.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Организация-соискатель готова к следующему этапу реализации проекта</w:t>
            </w:r>
          </w:p>
        </w:tc>
      </w:tr>
      <w:tr>
        <w:trPr>
          <w:trHeight w:hRule="atLeast" w:val="360"/>
        </w:trPr>
        <w:tc>
          <w:tcPr>
            <w:tcW w:type="dxa" w:w="1020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 этап</w:t>
            </w:r>
            <w:r>
              <w:rPr>
                <w:b w:val="1"/>
              </w:rPr>
              <w:t xml:space="preserve"> – внедренческий (2025 – 2026 учебный год)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r>
              <w:t>1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Подготовка кадрового состава площадок апробации (3 школы)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r>
              <w:t>3-4 квартал 2025 г.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 рекомендации для школ, планирующих реализовать проект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r>
              <w:t>2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Внедрение продукта проекта на площадках по схеме реализации проекта в организации-соискателе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r>
              <w:t xml:space="preserve">С 4 квартал 2025 г. 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Повышение функциональной грамотности обучающихся-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 Железнодорожного района г. Екатеринбурга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r>
              <w:t>3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образовательных игр, направленных на повышение </w:t>
            </w:r>
            <w:r>
              <w:rPr>
                <w:sz w:val="20"/>
              </w:rPr>
              <w:t>функцинальной</w:t>
            </w:r>
            <w:r>
              <w:rPr>
                <w:sz w:val="20"/>
              </w:rPr>
              <w:t xml:space="preserve"> грамотности детей-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 города и области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r>
              <w:t>Ежегодно по 1 игре в год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Проведены три образовательных игры по читательской грамотности, математической и естественно-научной грамотности, глобальным компетенциям для обучающихся-</w:t>
            </w:r>
            <w:r>
              <w:rPr>
                <w:sz w:val="20"/>
              </w:rPr>
              <w:t>инофонов</w:t>
            </w:r>
            <w:r>
              <w:rPr>
                <w:sz w:val="20"/>
              </w:rPr>
              <w:t xml:space="preserve"> Екатеринбурга и Свердловской области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r>
              <w:t>4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Проведение методических мероприятий по вопросам формирования функциональной грамотности для педагогов Екатеринбурга и Свердловской области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r>
              <w:t>Ежегодно 1 раз в год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Проведены профессиональный конк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рс методических разработок, а также методические мероприятия по вопросам формирования функциональной грамотности для педагогов Екатеринбурга и Свердловской области</w:t>
            </w:r>
          </w:p>
        </w:tc>
      </w:tr>
      <w:tr>
        <w:trPr>
          <w:trHeight w:hRule="atLeast" w:val="360"/>
        </w:trPr>
        <w:tc>
          <w:tcPr>
            <w:tcW w:type="dxa" w:w="1020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 этап</w:t>
            </w:r>
            <w:r>
              <w:rPr>
                <w:b w:val="1"/>
              </w:rPr>
              <w:t xml:space="preserve"> – результативно-обобщающий (2026 </w:t>
            </w:r>
            <w:r>
              <w:rPr>
                <w:b w:val="1"/>
              </w:rPr>
              <w:t xml:space="preserve">– 2027 учебный </w:t>
            </w:r>
            <w:r>
              <w:rPr>
                <w:b w:val="1"/>
              </w:rPr>
              <w:t>г</w:t>
            </w:r>
            <w:r>
              <w:rPr>
                <w:b w:val="1"/>
              </w:rPr>
              <w:t>од</w:t>
            </w:r>
            <w:r>
              <w:rPr>
                <w:b w:val="1"/>
              </w:rPr>
              <w:t>)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r>
              <w:t>1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Мониторинг результативности п</w:t>
            </w:r>
            <w:r>
              <w:rPr>
                <w:sz w:val="20"/>
              </w:rPr>
              <w:t>роекта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r>
              <w:t>В течение всего срока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Определена результативность проекта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r>
              <w:t>2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Подведение итогов реализации проекта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r>
              <w:t>1-2 квартал 2027 г.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Отчет о реализации проекта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r>
              <w:t>3</w:t>
            </w: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Трансляция опыта реализации проекта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r>
              <w:t>В течение всего срока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Диссеминация инновационного педагогического опыта. Внедрение инновационных продуктов в практику деятельности образовательных организаций Свердловской области</w:t>
            </w:r>
          </w:p>
        </w:tc>
      </w:tr>
    </w:tbl>
    <w:p w14:paraId="5C000000">
      <w:pPr>
        <w:tabs>
          <w:tab w:leader="none" w:pos="873" w:val="left"/>
        </w:tabs>
        <w:ind w:firstLine="0" w:left="0"/>
        <w:jc w:val="both"/>
        <w:rPr>
          <w:sz w:val="25"/>
        </w:rPr>
      </w:pPr>
    </w:p>
    <w:p w14:paraId="5D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2025-06-20T11:41:18Z</dcterms:modified>
</cp:coreProperties>
</file>