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32"/>
          <w:szCs w:val="32"/>
        </w:rPr>
        <w:t xml:space="preserve">Шаблон методического мероприятия/урока</w:t>
      </w:r>
      <w:r>
        <w:rPr>
          <w:rFonts w:ascii="Times New Roman" w:hAnsi="Times New Roman" w:eastAsia="Times New Roman" w:cs="Times New Roman"/>
          <w:b/>
          <w:bCs/>
          <w:i/>
          <w:iCs/>
          <w:sz w:val="32"/>
          <w:szCs w:val="32"/>
        </w:rPr>
      </w:r>
    </w:p>
    <w:tbl>
      <w:tblPr>
        <w:tblStyle w:val="49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3719"/>
        <w:gridCol w:w="5636"/>
      </w:tblGrid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Тема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: (кратко и точно).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 w:val="0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 w:val="0"/>
                <w:bCs/>
                <w:i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14"/>
                <w:szCs w:val="1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14"/>
                <w:szCs w:val="14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Цель: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 один главный результат (например, «сформировать у участников навыки постановки гипотезы и проверки её простейшим экспериментом»).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Задачи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: 3–5 пунктов (обучающие, развивающие, воспитательные).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Методические приемы для реализации мероприятия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 w:val="0"/>
                <w:bCs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  <w:t xml:space="preserve">(см. чек-лист).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18"/>
                <w:szCs w:val="18"/>
              </w:rPr>
            </w:r>
          </w:p>
        </w:tc>
        <w:tc>
          <w:tcPr>
            <w:tcW w:w="5636" w:type="dxa"/>
            <w:vMerge w:val="restart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Тип мероприятия: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образовательное, просветительское, соревновательное и т. д.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Форма проведения: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очная/онлайн/смешанная; групповая/индивидуальная.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2"/>
                <w:szCs w:val="22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Продолжительность: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общее время и разбивка по этапам.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b w:val="0"/>
                <w:bCs/>
                <w:i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/>
                <w:i/>
                <w:sz w:val="18"/>
                <w:szCs w:val="18"/>
                <w:highlight w:val="none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Место проведения: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аудитория, лаборатория, природная территория, онлайн‑платформа.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Ресурсы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: оборудование, реактивы/материалы, ПО, цифровые инструменты.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2"/>
                <w:szCs w:val="22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Рефлексия.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</w:p>
        </w:tc>
        <w:tc>
          <w:tcPr>
            <w:tcW w:w="5636" w:type="dxa"/>
            <w:vMerge w:val="restart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>
      <w:pPr>
        <w:shd w:val="nil"/>
      </w:pPr>
      <w:r>
        <w:br w:type="page" w:clear="all"/>
      </w:r>
      <w:r/>
    </w:p>
    <w:p>
      <w:pPr>
        <w:jc w:val="center"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32"/>
          <w:szCs w:val="32"/>
        </w:rPr>
        <w:t xml:space="preserve">Шаблон методического мероприятия/урока</w:t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</w:p>
    <w:tbl>
      <w:tblPr>
        <w:tblStyle w:val="49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3719"/>
        <w:gridCol w:w="5636"/>
      </w:tblGrid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Тема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: (кратко и точно).</w:t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 w:val="0"/>
                <w:bCs/>
                <w:i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14"/>
                <w:szCs w:val="1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14"/>
                <w:szCs w:val="14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14"/>
                <w:szCs w:val="14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Цель: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 один главный результат (например, «сформировать у участников навыки постановки гипотезы и проверки её простейшим экспериментом»).</w:t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Задачи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: 3–5 пунктов (обучающие, развивающие, воспитательные).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Методические приемы для реализации мероприятия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b w:val="0"/>
                <w:bCs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  <w:t xml:space="preserve">(см. чек-лист).</w:t>
            </w:r>
            <w:r>
              <w:rPr>
                <w:rFonts w:ascii="Times New Roman" w:hAnsi="Times New Roman" w:eastAsia="Times New Roman" w:cs="Times New Roman"/>
                <w:b w:val="0"/>
                <w:bCs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 w:val="0"/>
                <w:bCs/>
                <w:i/>
                <w:sz w:val="18"/>
                <w:szCs w:val="18"/>
              </w:rPr>
            </w:r>
          </w:p>
        </w:tc>
        <w:tc>
          <w:tcPr>
            <w:tcW w:w="5636" w:type="dxa"/>
            <w:vMerge w:val="restart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Тип мероприятия: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образовательное, просветительское, соревновательное и т. д.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Форма проведения: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очная/онлайн/смешанная; групповая/индивидуальная.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2"/>
                <w:szCs w:val="22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Продолжительность: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общее время и разбивка по этапам.</w:t>
            </w:r>
            <w:r>
              <w:rPr>
                <w:rFonts w:ascii="Times New Roman" w:hAnsi="Times New Roman" w:eastAsia="Times New Roman" w:cs="Times New Roman"/>
                <w:b w:val="0"/>
                <w:bCs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b w:val="0"/>
                <w:bCs/>
                <w:i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/>
                <w:i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/>
                <w:i/>
                <w:sz w:val="18"/>
                <w:szCs w:val="18"/>
                <w:highlight w:val="none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Место проведения: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аудитория, лаборатория, природная территория, онлайн‑платформа.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Ресурсы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: оборудование, реактивы/материалы, ПО, цифровые инструменты.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2"/>
                <w:szCs w:val="22"/>
              </w:rPr>
            </w:r>
          </w:p>
        </w:tc>
        <w:tc>
          <w:tcPr>
            <w:tcW w:w="563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371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Рефлексия.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r>
          </w:p>
        </w:tc>
        <w:tc>
          <w:tcPr>
            <w:tcW w:w="5636" w:type="dxa"/>
            <w:vMerge w:val="restart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borisova</cp:lastModifiedBy>
  <cp:revision>1</cp:revision>
  <dcterms:modified xsi:type="dcterms:W3CDTF">2026-08-25T11:20:58Z</dcterms:modified>
</cp:coreProperties>
</file>