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F7" w:rsidRDefault="008F3EF7" w:rsidP="008F3EF7">
      <w:pPr>
        <w:keepNext/>
        <w:widowControl w:val="0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РЕЗЮМЕ  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 ИННОВАЦИОННОГО ПРОЕКТА</w:t>
      </w:r>
    </w:p>
    <w:p w:rsidR="008F3EF7" w:rsidRDefault="008F3EF7" w:rsidP="008F3EF7">
      <w:pPr>
        <w:keepNext/>
        <w:widowControl w:val="0"/>
        <w:spacing w:after="0"/>
        <w:rPr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инновационного проекта (программы)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4"/>
              <w:keepNext/>
              <w:spacing w:line="276" w:lineRule="auto"/>
              <w:ind w:right="189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Создание Сетевой учебно-тренировочной площадки «ДЕМИДОВСКАЯ»</w:t>
            </w:r>
          </w:p>
        </w:tc>
      </w:tr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Основная идея инновационного проекта (программы)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keepNext/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на базе ГАПОУ СО «НТГПК им. Н.А. Демидова»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Сетевую учебно-тренировочную площадку «ДЕМИДОВСКАЯ».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Термин является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инновационным,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ним мы понимаем расположенный на базе профессиональной образовательной организации комплекс учебно-производственных мастерских (лабораторий), оснащённый современным технологическим оборудованием, создающий условия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1"/>
              </w:numPr>
              <w:spacing w:line="276" w:lineRule="auto"/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развития Сетевых форм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профориентационной деятельности; 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1"/>
              </w:numPr>
              <w:spacing w:line="276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подготовки (тренировки) конкурсантов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Горнозаводского округа для участия в национальных чемпионатах профессионального мастерства;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1"/>
              </w:numPr>
              <w:spacing w:line="276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дополнительных (вариативных) профессиональных модулей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востребованных на региональном рынке труда;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1"/>
              </w:numPr>
              <w:spacing w:line="276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научно-технического творчества;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1"/>
              </w:numPr>
              <w:spacing w:line="276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проведения независимой оценки квалификаций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3"/>
              <w:keepNext/>
              <w:spacing w:line="276" w:lineRule="auto"/>
              <w:ind w:left="0" w:firstLine="9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Проблемы научно-технического творчества подвергнуты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разностороннему анализу в философской и социологической литературе. Определена роль научно-технического творчества в процессах общественного производства, выделены и проанализированы многоаспектные взаимоотношения между научным, техническим и инженерным творчеством, вопросы регуляции творческих процессов, рассмотрено участие в научно-техническом творчестве различных социальных и профессиональных групп населения.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трудах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Л.К.Галицкой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Г.В.Ф.Гегеля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С.С.Гольдентрихта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П.И.Дышлевого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В.Л.Иноземцева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Л.Н.Когана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А.М.Коршунова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А.Н.Леонтьева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В.Н.Николко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В.Ф.Овчинникова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С.Н.Семёнова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В.М.Фигуровской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С.А.Шапоринского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В.Э.Штейнберга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А.Т.Шумилина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Л.В.Яценко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других исследованы общефилософские аспекты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творчества. </w:t>
            </w:r>
            <w:proofErr w:type="gramEnd"/>
          </w:p>
          <w:p w:rsidR="008F3EF7" w:rsidRDefault="008F3EF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аспекты проблемы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 ориентации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исследованы в работах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Р.С.Абдулина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И.А.Андреевой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А.Я.Боева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Л.Ю.Грачевой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З.М.Григорьевой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Д.Н.Журавлева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С.Н.Кашина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И.Д.Кожевникова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Д.Д.Невирко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Н.Н.Обдирщикова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А.С.Петровой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А.С.Петухова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Н.М.Самаркиной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С.В.Симонова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В.А.Смирнова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proofErr w:type="gramEnd"/>
          </w:p>
          <w:p w:rsidR="008F3EF7" w:rsidRDefault="008F3EF7">
            <w:pPr>
              <w:keepNext/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Идеи организации системы профориентации в условиях рынка труда, воспитания конкурентоспособности личности обоснованы в работах: зарубежных авторов (М.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Вудкока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Р.Синкха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 Франка, Д. Френсиса,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Фукуямы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Л.Якокка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отечественных авторов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М.И.Дьяченко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И.В.Горлинский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8F3EF7" w:rsidRDefault="008F3EF7">
            <w:pPr>
              <w:keepNext/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Концептуальные положения контроля и оценки качества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обучающихся, профессиональной и социальной ответственности работников сформированы П.Ф. Анисимовым, В.П. Беспалько, А.М. Новиковым, Н.Ю.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Ю.А.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8F3EF7" w:rsidRDefault="008F3EF7">
            <w:pPr>
              <w:keepNext/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квалификация как результат профессионального образования рассматривается в трудах С.Я.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А.Н. Лейбович, И.А. Волошиной и др. М.В. Никитин рассматривает управление качеством профессионального образования как повышение качества объектов системы учебного учреждения, основанное на государственно-частном партнерстве. </w:t>
            </w:r>
          </w:p>
          <w:p w:rsidR="008F3EF7" w:rsidRDefault="008F3EF7">
            <w:pPr>
              <w:keepNext/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трудах ученых О.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 Д. Машуковой, А. Н. Лейбович, И. А. Волошиной и других обосновывается целесообразность создания в Российской Федерации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системы независимой оценки квалификаций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добровольной сертификации персонала как механизма управления качеством подготовки выпускников среднего профессионального образования, предлагаются модели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институциализации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центров по сертификации персонала. </w:t>
            </w:r>
          </w:p>
          <w:p w:rsidR="008F3EF7" w:rsidRDefault="008F3EF7">
            <w:pPr>
              <w:keepNext/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исследованиях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Коулз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 А. Муравьевой отражены основные принципы и механизмы, методики разработки диагностических материалов для системы независимой оценки качества образования в форме сертификации квалификаций. Современное состояние, проблемы и направления совершенствования стандартизации, метрологии и сертификации рассматриваются учеными И.М.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Лифиц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А.А. Гончаровым, В.Д. Копыловым и др. </w:t>
            </w:r>
          </w:p>
        </w:tc>
      </w:tr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Обоснование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keepNext/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социальная значимость проекта:</w:t>
            </w:r>
          </w:p>
          <w:p w:rsidR="008F3EF7" w:rsidRDefault="008F3EF7" w:rsidP="00652DD8">
            <w:pPr>
              <w:keepNext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профориентации (дома детского технического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творчества, кружки юных техников и т.д.) зачастую не соответствует современным требованиям, Сетевая учебно-тренировочная площадка может стать Центром  развития научно-технического творчества разных возрастных групп.</w:t>
            </w:r>
          </w:p>
          <w:p w:rsidR="008F3EF7" w:rsidRDefault="008F3EF7" w:rsidP="00652DD8">
            <w:pPr>
              <w:keepNext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позволит частично устранить проблему отсутствия у молодых людей при поступлении в профессиональные образовательные организации представления о задачах, решаемых инженерами и конструкторами, результатом которой является неосознанный выбор специальности, рост числа молодых людей, не работающих по специальности.</w:t>
            </w:r>
          </w:p>
          <w:p w:rsidR="008F3EF7" w:rsidRDefault="008F3EF7" w:rsidP="00652DD8">
            <w:pPr>
              <w:keepNext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профессиональных образовательных организациях среднего профессионального образования города Нижний Тагил,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Горнозаводского округа Свердловской области нет учебных лабораторий и учебно-производственных мастерских в достаточной степени оснащенных инновационным оборудованием в области технического ремонта и обслуживания автомобильного транспорта для подготовки участников и экспертов национальных чемпионатов профессионального мастерства. </w:t>
            </w:r>
          </w:p>
          <w:p w:rsidR="008F3EF7" w:rsidRDefault="008F3EF7">
            <w:pPr>
              <w:keepNext/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Сетевая учебно-тренировочная площадка (Горнозаводского округа Свердловской области) может использоваться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тренировки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и экспертов национальных чемпионатов профессионального мастерства, в том числе национального чемпионата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компетенциям "Кузовной ремонт" и "Покраска автомобиля".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en-US"/>
              </w:rPr>
              <w:t xml:space="preserve">Идея площадки, представленная в проекте, является универсальной и в дальнейшем может быть 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мультиплицирована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en-US"/>
              </w:rPr>
              <w:t xml:space="preserve"> на другие специальности, реализуемые профессиональными образовательными организациями колледжей, техникумов Свердловской области. 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Реализация дополнительных (вариативных) профессиональных модулей, востребованных на региональном рынке труда,  обеспечит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подготовку специалистов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владеющих современными производственными и информационными технологиями,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сокращение адаптации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сроков на производстве.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Свердловской области не разработан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механизм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обеспечивающий реализацию статьи 89 ч. 2 и статьи 96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Федерального закона от 29 декабря 2012 г. № 273-ФЗ «Об образовании в Российской Федерации», в которых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определен государственно-общественный характер управления системой образования. Реализация проекта создаст условия (организационные, материально-технические) для процессов: </w:t>
            </w:r>
          </w:p>
          <w:p w:rsidR="008F3EF7" w:rsidRDefault="008F3EF7">
            <w:pPr>
              <w:pStyle w:val="a3"/>
              <w:keepNext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независимой оценки квалификаций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8F3EF7" w:rsidRDefault="008F3EF7">
            <w:pPr>
              <w:pStyle w:val="a3"/>
              <w:keepNext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профессионально-общественной аккредитации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профессиональных образовательных программ. 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Интеграция социальной и экономической значимости: одновременное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увеличение доли доходов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колледжа от внебюджетной деятельности к объему бюджетного финансирования, приобретения студентами (в том числе лицами с ОВЗ) дополнительных профессиональных компетенций, актуальных на рынке труда, развитие научно-технического творчества молодежи,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сетевых форм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профессиональной ориентации и обучения.</w:t>
            </w:r>
          </w:p>
        </w:tc>
      </w:tr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Цели и задачи инновационного проекта (программы)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4"/>
              <w:keepNext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создание инновационной площадки с имитацией производственного процесса (сетевой учебно-тренировочной площадки) в области обслуживания и ремонта автомобильного транспорта.</w:t>
            </w:r>
          </w:p>
          <w:p w:rsidR="008F3EF7" w:rsidRDefault="008F3EF7">
            <w:pPr>
              <w:pStyle w:val="a4"/>
              <w:keepNext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Задачи: 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 Реализация проектов по профессиональной ориентации, направленных на организацию Сетевого взаимодействия дошкольного и школьного образования с профессиональным образовательным сообществом.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 Развитие материально-технической базы колледжа как сетевой площадки в области автомобильного транспорта для профессиональных образовательных организаций города Нижний Тагил, Горнозаводского и Северного округов Свердловской области.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3. Реализация проектов, ориентированных на участие в национальных чемпионатах профессионального мастерства, в том числе в национальном чемпионате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Russia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4. Развитие научно-технического творчества. 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5.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етодическое сопровождение  внедрения Национальной  системы квалификаций в Свердловской области. </w:t>
            </w:r>
          </w:p>
        </w:tc>
      </w:tr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Сроки реализации инновационного проекта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4"/>
              <w:keepNext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2016 - 2020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источники финансирования реализации инновационного проекта (программы)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keepNext/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lastRenderedPageBreak/>
              <w:t xml:space="preserve">Горизонт проекта составляет период с 2016 по 2020 </w:t>
            </w:r>
            <w:proofErr w:type="spellStart"/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lastRenderedPageBreak/>
              <w:t xml:space="preserve">Общий объем инвестиций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17 000 000</w:t>
            </w:r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 руб., в том числе, средства областного бюджета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  067  109 рублей (</w:t>
            </w:r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1 125 000 руб. инвестиции текущего периода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5 942 109 </w:t>
            </w:r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 руб. планируемые поступления). </w:t>
            </w:r>
            <w:r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ab/>
              <w:t xml:space="preserve"> </w:t>
            </w:r>
          </w:p>
          <w:p w:rsidR="008F3EF7" w:rsidRDefault="008F3EF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Календарный план капитальных вложений</w:t>
            </w:r>
          </w:p>
          <w:tbl>
            <w:tblPr>
              <w:tblW w:w="75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1088"/>
              <w:gridCol w:w="1087"/>
              <w:gridCol w:w="1087"/>
              <w:gridCol w:w="1088"/>
              <w:gridCol w:w="1127"/>
            </w:tblGrid>
            <w:tr w:rsidR="008F3EF7">
              <w:trPr>
                <w:trHeight w:val="274"/>
              </w:trPr>
              <w:tc>
                <w:tcPr>
                  <w:tcW w:w="20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Источники финансирования инвестиционного проекта,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млн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уб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4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ind w:right="-24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Итого, </w:t>
                  </w:r>
                </w:p>
                <w:p w:rsidR="008F3EF7" w:rsidRDefault="008F3EF7">
                  <w:pPr>
                    <w:keepNext/>
                    <w:widowControl w:val="0"/>
                    <w:spacing w:after="0" w:line="240" w:lineRule="auto"/>
                    <w:ind w:right="-24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</w:tr>
            <w:tr w:rsidR="008F3EF7">
              <w:trPr>
                <w:trHeight w:val="141"/>
              </w:trPr>
              <w:tc>
                <w:tcPr>
                  <w:tcW w:w="75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F3EF7" w:rsidRDefault="008F3EF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F3EF7" w:rsidRDefault="008F3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EF7">
              <w:trPr>
                <w:trHeight w:val="141"/>
              </w:trPr>
              <w:tc>
                <w:tcPr>
                  <w:tcW w:w="75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Бюджетные средства</w:t>
                  </w:r>
                </w:p>
              </w:tc>
            </w:tr>
            <w:tr w:rsidR="008F3EF7">
              <w:trPr>
                <w:trHeight w:val="699"/>
              </w:trPr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Бюджет Свердловской области,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.: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2319000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1630000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1577000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1541109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7067109</w:t>
                  </w:r>
                </w:p>
              </w:tc>
            </w:tr>
            <w:tr w:rsidR="008F3EF7">
              <w:trPr>
                <w:trHeight w:val="552"/>
              </w:trPr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- получен грант на реализацию проекта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1125000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1125000</w:t>
                  </w:r>
                </w:p>
              </w:tc>
            </w:tr>
            <w:tr w:rsidR="008F3EF7">
              <w:trPr>
                <w:trHeight w:val="423"/>
              </w:trPr>
              <w:tc>
                <w:tcPr>
                  <w:tcW w:w="75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Внебюджетные средства</w:t>
                  </w:r>
                </w:p>
              </w:tc>
            </w:tr>
            <w:tr w:rsidR="008F3EF7">
              <w:trPr>
                <w:trHeight w:val="538"/>
              </w:trPr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Собственные средства инициатора  проекта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476000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400000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456891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500000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1832891</w:t>
                  </w:r>
                </w:p>
              </w:tc>
            </w:tr>
            <w:tr w:rsidR="008F3EF7">
              <w:trPr>
                <w:trHeight w:val="538"/>
              </w:trPr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Прочие внебюджетные средства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1600000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2000000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2000000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2500000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8100000</w:t>
                  </w:r>
                </w:p>
              </w:tc>
            </w:tr>
            <w:tr w:rsidR="008F3EF7">
              <w:trPr>
                <w:trHeight w:val="285"/>
              </w:trPr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t>Общий объем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</w:rPr>
                    <w:br/>
                    <w:t>инвестиций на реализацию проекта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4395000</w:t>
                  </w:r>
                </w:p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4030000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4033891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4541109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17000000</w:t>
                  </w:r>
                </w:p>
              </w:tc>
            </w:tr>
            <w:tr w:rsidR="008F3EF7">
              <w:trPr>
                <w:trHeight w:val="285"/>
              </w:trPr>
              <w:tc>
                <w:tcPr>
                  <w:tcW w:w="75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Реализация проекта обеспечивается за счёт финансовых средств исполнителей и соисполнителей проекта, бюджетных инвестиций, инвестиций заинтересованных участников, за счёт средств, поступающих от внебюджетной деятельности колледжа, за счёт возвратных средств, полученных от заказчиков продуктов проекта.</w:t>
                  </w:r>
                </w:p>
              </w:tc>
            </w:tr>
            <w:tr w:rsidR="008F3EF7">
              <w:trPr>
                <w:trHeight w:val="285"/>
              </w:trPr>
              <w:tc>
                <w:tcPr>
                  <w:tcW w:w="754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3EF7" w:rsidRDefault="008F3EF7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F3EF7" w:rsidRDefault="008F3EF7">
            <w:pPr>
              <w:pStyle w:val="a4"/>
              <w:keepNext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F3EF7" w:rsidTr="008F3EF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Основные результаты реализации инновационного проекта (программы)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1. Организация профориентационной деятельности в форме сетевого взаимодействия дошкольного и школьного образования с профессиональным образовательным сообществом. 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для предприятий города и региона квалифицированных рабочих и специалистов среднего звена, владеющих современными производственными и информационными технологиями, а так же  дополнительными профессиональными компетенциями, востребованными на региональном рынке труда.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Формирование в ГЗО и Северном округе Свердловской области «олимпийского резерва» экспертов и участников олимпиад профессионального мастерства и 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чемпионатов, в том числе национального чемпионата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Russia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компетенциям «Кузовной ремонт» и «Покраска автомобиля».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Развитие научно-технического творчества.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Внедрение в Свердловской области Независимой системы квалификаций (Создание регионального сегмента Национальной  системы квалификаций).</w:t>
            </w:r>
          </w:p>
          <w:p w:rsidR="008F3EF7" w:rsidRDefault="008F3EF7">
            <w:pPr>
              <w:pStyle w:val="a3"/>
              <w:keepNext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F3EF7" w:rsidTr="008F3EF7">
        <w:trPr>
          <w:trHeight w:val="9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Default="008F3EF7">
            <w:pPr>
              <w:pStyle w:val="a6"/>
              <w:keepNext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F7" w:rsidRPr="008F3EF7" w:rsidRDefault="008F3EF7">
            <w:pPr>
              <w:pStyle w:val="TableBody"/>
              <w:keepNext/>
              <w:keepLines w:val="0"/>
              <w:spacing w:before="0" w:after="0" w:line="240" w:lineRule="auto"/>
              <w:rPr>
                <w:sz w:val="26"/>
                <w:szCs w:val="26"/>
              </w:rPr>
            </w:pPr>
            <w:r w:rsidRPr="008F3EF7">
              <w:rPr>
                <w:sz w:val="26"/>
                <w:szCs w:val="26"/>
              </w:rPr>
              <w:t>Внедрение и распространение результатов инновационного проекта будет осуществлено по следующим направлениям:</w:t>
            </w:r>
          </w:p>
          <w:p w:rsidR="008F3EF7" w:rsidRP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rStyle w:val="5"/>
                <w:sz w:val="26"/>
                <w:szCs w:val="26"/>
                <w:lang w:eastAsia="en-US"/>
              </w:rPr>
            </w:pPr>
            <w:r w:rsidRPr="008F3EF7">
              <w:rPr>
                <w:rFonts w:ascii="Times New Roman" w:hAnsi="Times New Roman" w:cs="Times New Roman"/>
                <w:color w:val="222222"/>
                <w:sz w:val="26"/>
                <w:szCs w:val="26"/>
                <w:lang w:eastAsia="en-US"/>
              </w:rPr>
              <w:t xml:space="preserve">Идея </w:t>
            </w:r>
            <w:r w:rsidRPr="008F3EF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Сетевой учебно-тренировочной площадки, </w:t>
            </w:r>
            <w:r w:rsidRPr="008F3EF7">
              <w:rPr>
                <w:rFonts w:ascii="Times New Roman" w:hAnsi="Times New Roman" w:cs="Times New Roman"/>
                <w:color w:val="222222"/>
                <w:sz w:val="26"/>
                <w:szCs w:val="26"/>
                <w:lang w:eastAsia="en-US"/>
              </w:rPr>
              <w:t xml:space="preserve">представленная в проекте, является универсальной и в дальнейшем может быть </w:t>
            </w:r>
            <w:r w:rsidRPr="008F3EF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lang w:eastAsia="en-US"/>
              </w:rPr>
              <w:t>мультиплицирована</w:t>
            </w:r>
            <w:r w:rsidRPr="008F3EF7">
              <w:rPr>
                <w:rFonts w:ascii="Times New Roman" w:hAnsi="Times New Roman" w:cs="Times New Roman"/>
                <w:color w:val="222222"/>
                <w:sz w:val="26"/>
                <w:szCs w:val="26"/>
                <w:lang w:eastAsia="en-US"/>
              </w:rPr>
              <w:t xml:space="preserve"> на другие специальности, реализуемые профессиональными образовательными организациями Свердловской области, что обеспечит </w:t>
            </w:r>
            <w:r w:rsidRPr="008F3E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максимальное удовлетворение потребностей потребности регионального рынка труда в компетентных </w:t>
            </w:r>
            <w:r w:rsidRPr="008F3EF7">
              <w:rPr>
                <w:rStyle w:val="5"/>
                <w:sz w:val="26"/>
                <w:szCs w:val="26"/>
                <w:lang w:eastAsia="en-US"/>
              </w:rPr>
              <w:t>специалистах.</w:t>
            </w:r>
          </w:p>
          <w:p w:rsidR="008F3EF7" w:rsidRP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sz w:val="26"/>
                <w:szCs w:val="26"/>
              </w:rPr>
            </w:pPr>
            <w:r w:rsidRPr="008F3E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Гармонизация образовательных программ СПО и ВПО обеспечит</w:t>
            </w:r>
            <w:r w:rsidRPr="008F3EF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ускоренное освоение  образовательных программ </w:t>
            </w:r>
            <w:proofErr w:type="gramStart"/>
            <w:r w:rsidRPr="008F3EF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прикладного</w:t>
            </w:r>
            <w:proofErr w:type="gramEnd"/>
            <w:r w:rsidRPr="008F3EF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бакалавриата в рамках комплексной программы «Уральская инженерная школа». </w:t>
            </w:r>
          </w:p>
          <w:p w:rsidR="008F3EF7" w:rsidRP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3E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Расширение профессионально-образовательного пространства колледжа, развитие сетевого взаимодействия с потенциальными заказчиками образовательных услуг, социальными партнёрами и работодателями;</w:t>
            </w:r>
          </w:p>
          <w:p w:rsidR="008F3EF7" w:rsidRP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3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Презентация педагогического опыта колледжа на международном, всероссийском и региональном уровнях;</w:t>
            </w:r>
          </w:p>
          <w:p w:rsidR="008F3EF7" w:rsidRP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3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Внедрение в образовательный процесс </w:t>
            </w:r>
            <w:r w:rsidRPr="008F3E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инновационного оборудования по ремонту и обслуживанию автомобильного транспорта и инновационных образовательных технологий, расширение спектра реализуемых образовательных программ;</w:t>
            </w:r>
          </w:p>
          <w:p w:rsidR="008F3EF7" w:rsidRP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3E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Внедрение новых систем оценивания образовательных результатов;</w:t>
            </w:r>
          </w:p>
          <w:p w:rsidR="008F3EF7" w:rsidRP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3E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Эффективное сотрудничество с органами власти, работодателями и социальными партнерами на предмет подготовки рабочих кадров и служащих в соответствии с интересами региональной экономики;</w:t>
            </w:r>
          </w:p>
          <w:p w:rsidR="008F3EF7" w:rsidRDefault="008F3EF7" w:rsidP="00652DD8">
            <w:pPr>
              <w:pStyle w:val="a3"/>
              <w:keepNext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Предоставление возможности получения профессионального образования, повышения квалификации, профессиональной переподготовки специалистам отрасли и всем заинтересованным лицам.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F3EF7" w:rsidRDefault="008F3EF7" w:rsidP="008F3EF7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EF7" w:rsidRDefault="008F3EF7" w:rsidP="008F3EF7">
      <w:pPr>
        <w:pStyle w:val="a5"/>
        <w:keepNext/>
        <w:jc w:val="both"/>
        <w:rPr>
          <w:rStyle w:val="a7"/>
          <w:bCs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3EF7" w:rsidRDefault="008F3EF7" w:rsidP="008F3EF7">
      <w:pPr>
        <w:pStyle w:val="a5"/>
        <w:keepNext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8F3EF7" w:rsidRDefault="008F3EF7" w:rsidP="008F3EF7">
      <w:pPr>
        <w:pStyle w:val="a5"/>
        <w:keepNext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8F3EF7" w:rsidRDefault="008F3EF7" w:rsidP="008F3EF7">
      <w:pPr>
        <w:pStyle w:val="a5"/>
        <w:keepNext/>
        <w:jc w:val="both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8F3EF7" w:rsidRDefault="008F3EF7" w:rsidP="008F3EF7">
      <w:pPr>
        <w:rPr>
          <w:rStyle w:val="a7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br w:type="page"/>
      </w:r>
    </w:p>
    <w:p w:rsidR="003B364B" w:rsidRDefault="003B364B"/>
    <w:sectPr w:rsidR="003B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AA4"/>
    <w:multiLevelType w:val="hybridMultilevel"/>
    <w:tmpl w:val="55589270"/>
    <w:lvl w:ilvl="0" w:tplc="5F56CB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18F6"/>
    <w:multiLevelType w:val="hybridMultilevel"/>
    <w:tmpl w:val="45F09F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176B4"/>
    <w:multiLevelType w:val="hybridMultilevel"/>
    <w:tmpl w:val="5A2480D8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5D4F76A1"/>
    <w:multiLevelType w:val="hybridMultilevel"/>
    <w:tmpl w:val="0A70DEAE"/>
    <w:lvl w:ilvl="0" w:tplc="0E7AB36E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04DBC"/>
    <w:multiLevelType w:val="multilevel"/>
    <w:tmpl w:val="C1B4A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94"/>
    <w:rsid w:val="003B364B"/>
    <w:rsid w:val="008F3EF7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 Знак,Обычный (веб)2 Знак,Знак Знак,Обычный (веб) Знак Знак,Знак1 Знак,Обычный (веб) Знак1 Знак1,Обычный (веб) Знак1 Знак Знак,Знак Знак Знак Знак Знак,Обычный (Web) Знак Знак,Знак Знак Знак,Обычный (Web) Знак1"/>
    <w:basedOn w:val="a"/>
    <w:uiPriority w:val="34"/>
    <w:unhideWhenUsed/>
    <w:qFormat/>
    <w:rsid w:val="008F3E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qFormat/>
    <w:rsid w:val="008F3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qFormat/>
    <w:rsid w:val="008F3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qFormat/>
    <w:rsid w:val="008F3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ableBody">
    <w:name w:val="TableBody"/>
    <w:autoRedefine/>
    <w:uiPriority w:val="99"/>
    <w:qFormat/>
    <w:rsid w:val="008F3EF7"/>
    <w:pPr>
      <w:keepLines/>
      <w:widowControl w:val="0"/>
      <w:spacing w:before="120" w:after="120" w:line="360" w:lineRule="auto"/>
      <w:ind w:firstLine="2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8F3EF7"/>
    <w:rPr>
      <w:b/>
      <w:bCs w:val="0"/>
      <w:color w:val="000000"/>
    </w:rPr>
  </w:style>
  <w:style w:type="character" w:customStyle="1" w:styleId="5">
    <w:name w:val="Основной текст (5)"/>
    <w:rsid w:val="008F3EF7"/>
    <w:rPr>
      <w:rFonts w:ascii="Times New Roman" w:hAnsi="Times New Roman" w:cs="Times New Roman" w:hint="default"/>
      <w:strike w:val="0"/>
      <w:dstrike w:val="0"/>
      <w:spacing w:val="0"/>
      <w:sz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 Знак,Обычный (веб)2 Знак,Знак Знак,Обычный (веб) Знак Знак,Знак1 Знак,Обычный (веб) Знак1 Знак1,Обычный (веб) Знак1 Знак Знак,Знак Знак Знак Знак Знак,Обычный (Web) Знак Знак,Знак Знак Знак,Обычный (Web) Знак1"/>
    <w:basedOn w:val="a"/>
    <w:uiPriority w:val="34"/>
    <w:unhideWhenUsed/>
    <w:qFormat/>
    <w:rsid w:val="008F3E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qFormat/>
    <w:rsid w:val="008F3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qFormat/>
    <w:rsid w:val="008F3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qFormat/>
    <w:rsid w:val="008F3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ableBody">
    <w:name w:val="TableBody"/>
    <w:autoRedefine/>
    <w:uiPriority w:val="99"/>
    <w:qFormat/>
    <w:rsid w:val="008F3EF7"/>
    <w:pPr>
      <w:keepLines/>
      <w:widowControl w:val="0"/>
      <w:spacing w:before="120" w:after="120" w:line="360" w:lineRule="auto"/>
      <w:ind w:firstLine="2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8F3EF7"/>
    <w:rPr>
      <w:b/>
      <w:bCs w:val="0"/>
      <w:color w:val="000000"/>
    </w:rPr>
  </w:style>
  <w:style w:type="character" w:customStyle="1" w:styleId="5">
    <w:name w:val="Основной текст (5)"/>
    <w:rsid w:val="008F3EF7"/>
    <w:rPr>
      <w:rFonts w:ascii="Times New Roman" w:hAnsi="Times New Roman" w:cs="Times New Roman" w:hint="default"/>
      <w:strike w:val="0"/>
      <w:dstrike w:val="0"/>
      <w:spacing w:val="0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1758</Words>
  <Characters>10026</Characters>
  <Application>Microsoft Office Word</Application>
  <DocSecurity>0</DocSecurity>
  <Lines>83</Lines>
  <Paragraphs>23</Paragraphs>
  <ScaleCrop>false</ScaleCrop>
  <Company>Krokoz™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Журавлёва</dc:creator>
  <cp:keywords/>
  <dc:description/>
  <cp:lastModifiedBy>Журавлёва</cp:lastModifiedBy>
  <cp:revision>3</cp:revision>
  <dcterms:created xsi:type="dcterms:W3CDTF">2017-07-03T09:55:00Z</dcterms:created>
  <dcterms:modified xsi:type="dcterms:W3CDTF">2017-07-03T09:57:00Z</dcterms:modified>
</cp:coreProperties>
</file>